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91274" cy="904571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1274" cy="90457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6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7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8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8"/>
        <w:gridCol w:w="4847"/>
      </w:tblGrid>
      <w:tr>
        <w:tc>
          <w:tcPr>
            <w:tcW w:type="dxa" w:w="521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8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«МЕНЕДЖМЕНТ В СФЕРЕ КУЛЬТУРЫ»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24</w:t>
      </w:r>
    </w:p>
    <w:p w14:paraId="2B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C000000">
      <w:pPr>
        <w:pStyle w:val="Style_3"/>
        <w:spacing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Дополнительная профессиональная программа повышения квалификации «Менеджмент в сфере культуры» представляет собой </w:t>
      </w:r>
      <w:r>
        <w:rPr>
          <w:rFonts w:ascii="Times New Roman" w:hAnsi="Times New Roman"/>
          <w:b w:val="0"/>
          <w:sz w:val="28"/>
        </w:rPr>
        <w:t xml:space="preserve">комплекс основных характеристик и учебно-методических документов, </w:t>
      </w:r>
      <w:r>
        <w:rPr>
          <w:rFonts w:ascii="Times New Roman" w:hAnsi="Times New Roman"/>
          <w:b w:val="0"/>
          <w:sz w:val="28"/>
        </w:rPr>
        <w:t>обеспечивающих образовательный процесс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b w:val="0"/>
          <w:sz w:val="28"/>
        </w:rPr>
        <w:t>искусства им.И.В.Казенина»</w:t>
      </w:r>
      <w:r>
        <w:rPr>
          <w:rFonts w:ascii="Times New Roman" w:hAnsi="Times New Roman"/>
          <w:b w:val="0"/>
          <w:sz w:val="28"/>
        </w:rPr>
        <w:t xml:space="preserve">. Киров, 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 xml:space="preserve">4 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 с.</w:t>
      </w:r>
    </w:p>
    <w:p w14:paraId="2D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E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F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0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1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2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3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4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5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6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7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8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9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A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B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C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D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E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F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0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1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2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3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4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5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6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7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8000000">
      <w:pPr>
        <w:pStyle w:val="Style_3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9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1. Цели и задачи реализации дополнительной профессиональной </w:t>
      </w: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4A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pStyle w:val="Style_3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</w:t>
      </w:r>
      <w:r>
        <w:rPr>
          <w:rFonts w:ascii="Times New Roman" w:hAnsi="Times New Roman"/>
          <w:b w:val="0"/>
          <w:sz w:val="28"/>
        </w:rPr>
        <w:t xml:space="preserve">ачественное изменение и совершенствование </w:t>
      </w:r>
      <w:r>
        <w:rPr>
          <w:rFonts w:ascii="Times New Roman" w:hAnsi="Times New Roman"/>
          <w:b w:val="0"/>
          <w:sz w:val="28"/>
        </w:rPr>
        <w:t xml:space="preserve">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 xml:space="preserve">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  <w:r>
        <w:rPr>
          <w:rFonts w:ascii="Times New Roman" w:hAnsi="Times New Roman"/>
          <w:b w:val="0"/>
          <w:sz w:val="28"/>
        </w:rPr>
        <w:t xml:space="preserve">информационно-аналитическая, </w:t>
      </w:r>
      <w:r>
        <w:rPr>
          <w:rFonts w:ascii="Times New Roman" w:hAnsi="Times New Roman"/>
          <w:b w:val="0"/>
          <w:sz w:val="28"/>
        </w:rPr>
        <w:t>организационно-управленческая;</w:t>
      </w:r>
      <w:r>
        <w:rPr>
          <w:rFonts w:ascii="Times New Roman" w:hAnsi="Times New Roman"/>
          <w:b w:val="0"/>
          <w:sz w:val="28"/>
        </w:rPr>
        <w:t xml:space="preserve"> финансовая, предпринимательская, </w:t>
      </w:r>
      <w:r>
        <w:rPr>
          <w:rFonts w:ascii="Times New Roman" w:hAnsi="Times New Roman"/>
          <w:b w:val="0"/>
          <w:sz w:val="28"/>
        </w:rPr>
        <w:t xml:space="preserve">научно-исследовательская. </w:t>
      </w:r>
    </w:p>
    <w:p w14:paraId="4C000000">
      <w:pPr>
        <w:pStyle w:val="Style_3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4D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>общепрофессиональные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профессиональные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>общепрофессиональные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профессиональные компетенции, направленные на повышение уровня профессиональных знаний и освоение современных методов и технологий решения задач</w:t>
      </w:r>
      <w:r>
        <w:rPr>
          <w:rFonts w:ascii="Times New Roman" w:hAnsi="Times New Roman"/>
          <w:sz w:val="28"/>
        </w:rPr>
        <w:t xml:space="preserve"> управления в сфере культуры и искусства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>универсальных,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50000000">
      <w:pPr>
        <w:pStyle w:val="Style_3"/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разработки программы</w:t>
      </w:r>
    </w:p>
    <w:p w14:paraId="51000000">
      <w:pPr>
        <w:spacing w:before="24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2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53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54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5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6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7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58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59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5A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5B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5C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5D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5E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5F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60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61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62000000">
      <w:pPr>
        <w:numPr>
          <w:ilvl w:val="0"/>
          <w:numId w:val="1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63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64000000">
      <w:pPr>
        <w:pStyle w:val="Style_4"/>
        <w:tabs>
          <w:tab w:leader="none" w:pos="993" w:val="left"/>
        </w:tabs>
        <w:spacing w:after="120" w:line="240" w:lineRule="auto"/>
        <w:ind w:firstLine="0" w:left="360"/>
        <w:jc w:val="both"/>
        <w:outlineLvl w:val="1"/>
        <w:rPr>
          <w:rFonts w:ascii="Times New Roman" w:hAnsi="Times New Roman"/>
          <w:sz w:val="10"/>
        </w:rPr>
      </w:pPr>
    </w:p>
    <w:p w14:paraId="65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6000000">
      <w:pPr>
        <w:pStyle w:val="Style_4"/>
        <w:tabs>
          <w:tab w:leader="none" w:pos="993" w:val="left"/>
        </w:tabs>
        <w:spacing w:after="120" w:line="240" w:lineRule="auto"/>
        <w:ind w:firstLine="0" w:left="357"/>
        <w:jc w:val="both"/>
        <w:outlineLvl w:val="1"/>
        <w:rPr>
          <w:rFonts w:ascii="Times New Roman" w:hAnsi="Times New Roman"/>
          <w:sz w:val="10"/>
        </w:rPr>
      </w:pPr>
    </w:p>
    <w:p w14:paraId="67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68000000">
      <w:pPr>
        <w:pStyle w:val="Style_3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69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В результате освоения программы обучающийся должен овладеть знаниями, умениями и навыками для расширения и углубления имеющихся </w:t>
      </w:r>
      <w:r>
        <w:rPr>
          <w:rFonts w:ascii="Times New Roman" w:hAnsi="Times New Roman"/>
          <w:b w:val="1"/>
          <w:i w:val="1"/>
          <w:sz w:val="28"/>
        </w:rPr>
        <w:t>компетенций</w:t>
      </w:r>
      <w:r>
        <w:rPr>
          <w:rFonts w:ascii="Times New Roman" w:hAnsi="Times New Roman"/>
          <w:sz w:val="28"/>
        </w:rPr>
        <w:t>, необходимых в ег</w:t>
      </w:r>
      <w:r>
        <w:rPr>
          <w:rFonts w:ascii="Times New Roman" w:hAnsi="Times New Roman"/>
          <w:sz w:val="28"/>
        </w:rPr>
        <w:t xml:space="preserve">о профессиональной деятельности.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A000000">
      <w:pPr>
        <w:numPr>
          <w:ilvl w:val="0"/>
          <w:numId w:val="2"/>
        </w:numPr>
        <w:tabs>
          <w:tab w:leader="none" w:pos="851" w:val="left"/>
        </w:tabs>
        <w:spacing w:after="0" w:before="24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по направлению</w:t>
      </w:r>
      <w:r>
        <w:rPr>
          <w:rFonts w:ascii="Times New Roman" w:hAnsi="Times New Roman"/>
          <w:b w:val="1"/>
          <w:i w:val="1"/>
          <w:sz w:val="28"/>
        </w:rPr>
        <w:t xml:space="preserve"> подготовки 38.03.02 Менеджмент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6B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sz w:val="28"/>
        </w:rPr>
        <w:t>компетенции:</w:t>
      </w:r>
    </w:p>
    <w:p w14:paraId="6C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</w:p>
    <w:p w14:paraId="6D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6E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социальное взаимодействие и реализовывать свою роль в команде</w:t>
      </w:r>
    </w:p>
    <w:p w14:paraId="6F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70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УК-5.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71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2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УК-9.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использовать базовые дефектологические знания в социальной и профессиональной сферах</w:t>
      </w:r>
    </w:p>
    <w:p w14:paraId="73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УК-10.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принимать обоснованные экономические решения в различных областях жизнедеятельности</w:t>
      </w:r>
    </w:p>
    <w:p w14:paraId="74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формировать нетерпимое отношение к коррупционному поведению</w:t>
      </w:r>
    </w:p>
    <w:p w14:paraId="75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76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77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78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14:paraId="79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14:paraId="7A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14:paraId="7B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14:paraId="7C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ОПК-5.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14:paraId="7D000000">
      <w:pPr>
        <w:widowControl w:val="0"/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10 разделе программы.</w:t>
      </w:r>
    </w:p>
    <w:p w14:paraId="7E000000">
      <w:pPr>
        <w:pStyle w:val="Style_3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</w:p>
    <w:p w14:paraId="7F000000">
      <w:pPr>
        <w:pStyle w:val="Style_3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80000000">
      <w:pPr>
        <w:pStyle w:val="Style_3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учреждений культуры и </w:t>
      </w:r>
      <w:r>
        <w:rPr>
          <w:rFonts w:ascii="Times New Roman" w:hAnsi="Times New Roman"/>
          <w:b w:val="0"/>
          <w:sz w:val="28"/>
        </w:rPr>
        <w:t>образовательных о</w:t>
      </w:r>
      <w:r>
        <w:rPr>
          <w:rFonts w:ascii="Times New Roman" w:hAnsi="Times New Roman"/>
          <w:b w:val="0"/>
          <w:sz w:val="28"/>
        </w:rPr>
        <w:t xml:space="preserve">рганизаций,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81000000">
      <w:pPr>
        <w:pStyle w:val="Style_3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82000000">
      <w:pPr>
        <w:pStyle w:val="Style_3"/>
        <w:spacing w:after="240"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</w:t>
      </w:r>
      <w:r>
        <w:rPr>
          <w:rFonts w:ascii="Times New Roman" w:hAnsi="Times New Roman"/>
          <w:b w:val="0"/>
          <w:sz w:val="28"/>
        </w:rPr>
        <w:t xml:space="preserve">чная, очно-заочная, заочная,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технологий.</w:t>
      </w:r>
    </w:p>
    <w:p w14:paraId="83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84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85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 рассчитано на 72 часа. Программа также может реализовываться частично (по модулям) или в форме стажировки.</w:t>
      </w:r>
    </w:p>
    <w:p w14:paraId="86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7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8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89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8A000000">
      <w:pPr>
        <w:pStyle w:val="Style_3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учебных занятий (работ)</w:t>
      </w:r>
    </w:p>
    <w:p w14:paraId="8B000000">
      <w:pPr>
        <w:pStyle w:val="Style_3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8C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8D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8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90000000">
      <w:pPr>
        <w:pStyle w:val="Style_3"/>
        <w:spacing w:after="240"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Примерный учебный план 72 часа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04"/>
        <w:gridCol w:w="5612"/>
        <w:gridCol w:w="1122"/>
        <w:gridCol w:w="1122"/>
        <w:gridCol w:w="1122"/>
      </w:tblGrid>
      <w:tr>
        <w:tc>
          <w:tcPr>
            <w:tcW w:type="dxa" w:w="1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5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sz w:val="28"/>
              </w:rPr>
              <w:t>модулей</w:t>
            </w:r>
          </w:p>
        </w:tc>
        <w:tc>
          <w:tcPr>
            <w:tcW w:type="dxa" w:w="33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c>
          <w:tcPr>
            <w:tcW w:type="dxa" w:w="1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Научно-практические основы менеджмента </w:t>
            </w: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Нормативно-правовое регулирование деятельности учреждений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основы менеджмен</w:t>
            </w:r>
            <w:r>
              <w:rPr>
                <w:rFonts w:ascii="Times New Roman" w:hAnsi="Times New Roman"/>
                <w:sz w:val="28"/>
              </w:rPr>
              <w:t xml:space="preserve">та 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Информационные технологии </w:t>
            </w:r>
            <w:r>
              <w:rPr>
                <w:rFonts w:ascii="Times New Roman" w:hAnsi="Times New Roman"/>
                <w:sz w:val="28"/>
              </w:rPr>
              <w:t>и защита информации</w:t>
            </w:r>
            <w:r>
              <w:rPr>
                <w:rFonts w:ascii="Times New Roman" w:hAnsi="Times New Roman"/>
                <w:sz w:val="28"/>
              </w:rPr>
              <w:t xml:space="preserve"> в управленческой деятельности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персоналом в учреждениях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финансово-хозяйственной деятельности учреждений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706"/>
        </w:trP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Маркетинговые коммуникации 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Итоговая аттестация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</w:tr>
    </w:tbl>
    <w:p w14:paraId="C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6000000">
      <w:pPr>
        <w:pStyle w:val="Style_3"/>
        <w:spacing w:after="240"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C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C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Самостоятельная работа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представляет собой обязательную часть образовательной программы и выполняется </w:t>
      </w:r>
      <w:r>
        <w:rPr>
          <w:rFonts w:ascii="Times New Roman" w:hAnsi="Times New Roman"/>
          <w:sz w:val="28"/>
        </w:rPr>
        <w:t>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вне аудиторных занятий в соответствии с заданиями преподавателя. Самостоятельная работа может выполняться </w:t>
      </w:r>
      <w:r>
        <w:rPr>
          <w:rFonts w:ascii="Times New Roman" w:hAnsi="Times New Roman"/>
          <w:sz w:val="28"/>
        </w:rPr>
        <w:t>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CB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Рабочие программы </w:t>
      </w:r>
      <w:r>
        <w:rPr>
          <w:rFonts w:ascii="Times New Roman" w:hAnsi="Times New Roman"/>
          <w:b w:val="1"/>
          <w:sz w:val="28"/>
        </w:rPr>
        <w:t>модулей</w:t>
      </w:r>
    </w:p>
    <w:p w14:paraId="C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</w:t>
      </w:r>
    </w:p>
    <w:p w14:paraId="C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 учебному плану на 72 часа</w:t>
      </w:r>
    </w:p>
    <w:p w14:paraId="C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 xml:space="preserve">Научно-практические основы менеджмента </w:t>
      </w:r>
    </w:p>
    <w:p w14:paraId="D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как самостоятельная</w:t>
      </w:r>
      <w:r>
        <w:rPr>
          <w:rFonts w:ascii="Times New Roman" w:hAnsi="Times New Roman"/>
          <w:sz w:val="28"/>
        </w:rPr>
        <w:t xml:space="preserve"> сфера знаний и деятельности.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как объект управления.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Процессы и механизмы менеджмента.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Интеграционные процессы в менеджменте.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 менеджмент.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Организационные процессы в менеджменте.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Власть, влияние и стиль управления.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Мотивация: понятие, подходы, основные теории.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в управлении.</w:t>
      </w:r>
      <w:r>
        <w:rPr>
          <w:rFonts w:ascii="Times New Roman" w:hAnsi="Times New Roman"/>
          <w:sz w:val="28"/>
        </w:rPr>
        <w:t xml:space="preserve"> Профессиональная компетентность руководителя учреждения (организации) сферы культуры и искусства. Виды, уровни и методы оценки эффективности менеджмента в сфере культуры и искусства. </w:t>
      </w:r>
    </w:p>
    <w:p w14:paraId="D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Нормативно-правовое регулирование деятельности учреждений</w:t>
      </w:r>
    </w:p>
    <w:p w14:paraId="D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D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политика в сфере культуры. Правовое регулирование сферы культуры и образования в сфере культуры. </w:t>
      </w:r>
      <w:r>
        <w:rPr>
          <w:rFonts w:ascii="Times New Roman" w:hAnsi="Times New Roman"/>
          <w:sz w:val="28"/>
        </w:rPr>
        <w:t xml:space="preserve">Локальные нормативно-правовые акты учреждения. </w:t>
      </w:r>
      <w:r>
        <w:rPr>
          <w:rFonts w:ascii="Times New Roman" w:hAnsi="Times New Roman"/>
          <w:sz w:val="28"/>
        </w:rPr>
        <w:t>Особенности правового регулирования трудовых отношений.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Правоприменительная практика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ащиты авторских и смежных прав.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Основные нормативные документы, регулирующие работу учреждений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 к содержанию и размещению информации на официальном сайте в соответствии с действующей нормативно-правовой базой.</w:t>
      </w:r>
    </w:p>
    <w:p w14:paraId="D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документы, регламентирующие обеспечение равных возможностей в получении государственных услуг и их доступности для граждан пожилого возраста и лиц, имеющих ограниченные возможности здоровья.</w:t>
      </w:r>
    </w:p>
    <w:p w14:paraId="D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Документирование: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 о документах, способах документирования, носителях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 и функциях документа.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 оформления основных видов организационно-распорядительных документов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с документами.</w:t>
      </w:r>
    </w:p>
    <w:p w14:paraId="DA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DB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Психолого-педагогические основы менеджмента </w:t>
      </w:r>
    </w:p>
    <w:p w14:paraId="D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Психолого-педагогические основы управленческой деятельности. Психологические подходы к анализу управленческой деятельности. Психолого-педагогические аспекты принятия управленческих решений. Психолого-педагогические особенности мотивации сотрудников учреждений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D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Личность руководителя: психологический портрет.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Стили руководства.</w:t>
      </w:r>
      <w:r>
        <w:rPr>
          <w:rFonts w:ascii="TimesNewRomanPSMT" w:hAnsi="TimesNewRomanPSMT"/>
          <w:sz w:val="28"/>
        </w:rPr>
        <w:t xml:space="preserve"> </w:t>
      </w:r>
      <w:r>
        <w:rPr>
          <w:rFonts w:ascii="Times New Roman" w:hAnsi="Times New Roman"/>
          <w:sz w:val="28"/>
        </w:rPr>
        <w:t>Формы коммуникации в организации, их назначение и роль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производственном процессе. Официальная коммуникация в организации. Публичные выступления. Эмоциональная устойчивость руководителя в коммуникативной ситуации. Коммуникационное обеспечение преобразований в организации.</w:t>
      </w:r>
      <w:r>
        <w:rPr>
          <w:rFonts w:ascii="Times New Roman" w:hAnsi="Times New Roman"/>
          <w:sz w:val="28"/>
        </w:rPr>
        <w:t xml:space="preserve"> </w:t>
      </w:r>
    </w:p>
    <w:p w14:paraId="E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Конфликты в коллективе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Постижение природы конфликта, его видов, закон</w:t>
      </w:r>
      <w:r>
        <w:rPr>
          <w:rFonts w:ascii="Times New Roman" w:hAnsi="Times New Roman"/>
          <w:sz w:val="28"/>
        </w:rPr>
        <w:t>омерностей протекания и функций.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Знакомство с основами профилактики и алгоритмом разрешения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Освоение техник регуляции эмоцио</w:t>
      </w:r>
      <w:r>
        <w:rPr>
          <w:rFonts w:ascii="Times New Roman" w:hAnsi="Times New Roman"/>
          <w:sz w:val="28"/>
        </w:rPr>
        <w:t>нального напряжения.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Диагностика доминирующих стратегий поведения в конфликтной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 применению эффективных стратегий разрешения конфликта.</w:t>
      </w:r>
    </w:p>
    <w:p w14:paraId="E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Психофизиологические особенности лиц, имеющих ограниченные возможности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Особенности делового общения с людьми пожилого возраста  и лицами, имеющими ограниченные возможности здоровья включая. Психологические особенности прямого общения и общения по телефону или через Интернет с лицами, имеющими ограниченные возможности здоровья. Профилактика конфликтов и медиаторство в общении с пожилыми людьми и лицами, имеющими ограничения здоровья. Технологии психолого-педагогического сопровождения и оказания помощи  лицам с ограниченными возможностями здоровья в условиях  учреждения сферы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E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E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Информационные технологии в управленческой деятельности</w:t>
      </w:r>
    </w:p>
    <w:p w14:paraId="E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ресурсы Интернета. Сервисы Интернета. Образовательные ресурсы и услуги Интернета. Проектирование и создание веб-сайта. Размещение сайта в сети Интернет: домен и хостинг.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дистанционного образования. Организация дистанционного обучения с использованием программных оболочек.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 получения государственных и муниципальных услуг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электронном виде. Электронное взаимодействие с организациями и учреждениями. Различные формы обратной связи. Государственные и муниципальные услуги: портал gosuslugi.ru.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14:paraId="E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Компьютерная безопасность. Методы обеспечения информационной безопасности.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 за правонарушения в сфере защиты информации.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Авторские права в сфере информационных технологий. Ответственность за использование нелицензионного программного обеспечения. Свободное программное обеспечение.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Управление персоналом в учреждениях </w:t>
      </w: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E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к эффективному управлению персоналом: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содержание, принципы, методы.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подбора и расстановки кадров.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работы с молодыми специалистами в период их адаптации в коллективе.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обучения персонала.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 деятельности по мотивации и стимулированию труда.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результативности труда персонала.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Методы создания и поддержания благоприятного морально-психологического климата в коллективе.</w:t>
      </w:r>
      <w:r>
        <w:t xml:space="preserve"> </w:t>
      </w:r>
      <w:r>
        <w:rPr>
          <w:rFonts w:ascii="Times New Roman" w:hAnsi="Times New Roman"/>
          <w:sz w:val="28"/>
        </w:rPr>
        <w:t xml:space="preserve">Формирование корпоративной культуры в учреждении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E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. Организация финансово-хозяйственной деятельности учреждений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F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Нормативно-правовая база формирования плана финансово-хозяйственной деятельности учреждения.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учетного процесса в соответствии с требованиями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законодательства. Формирование учетной политики учреждения.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Формирование результата деятельности учреждения. Состав затрат, формирующих себестоимость услуг, в рамках выполнения </w:t>
      </w:r>
      <w:r>
        <w:rPr>
          <w:rFonts w:ascii="Times New Roman" w:hAnsi="Times New Roman"/>
          <w:sz w:val="28"/>
        </w:rPr>
        <w:t xml:space="preserve">государственного, </w:t>
      </w:r>
      <w:r>
        <w:rPr>
          <w:rFonts w:ascii="Times New Roman" w:hAnsi="Times New Roman"/>
          <w:sz w:val="28"/>
        </w:rPr>
        <w:t>муниципального задания.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 проведения инвентаризации имущества и обязательств, порядок оформления результатов инвентаризации.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ребования к организации и обеспечению учреждением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внутреннего финансового контроля. Полномочия контрольно-счетных органов при проведении аудита закупок.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эффективной структуры административно-хозяйственной службы с учетом целей и задач организации.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административно-хозяйственной службы.</w:t>
      </w:r>
    </w:p>
    <w:p w14:paraId="F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 Маркетинговые коммуникации 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</w:t>
      </w:r>
      <w:r>
        <w:rPr>
          <w:rFonts w:ascii="Times New Roman" w:hAnsi="Times New Roman"/>
          <w:b w:val="1"/>
          <w:sz w:val="28"/>
        </w:rPr>
        <w:t>)</w:t>
      </w:r>
    </w:p>
    <w:p w14:paraId="F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F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Сущность и назначение маркетинговых коммуникаций.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Учреждения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как субъекты коммуникаций.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Процесс формирования интегрированных маркетинговых коммуникаций в сфере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Целевые аудитории и их характеристика.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Каналы коммуникации и их характеристика.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эффективности каналов коммуникаций в зависимости от целевой аудитории.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PR-обеспечение деятельности учреждения культуры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Коммуникативное обеспечение события в сфере культуры и искусств.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Методика анализа эффективности интегрированных маркетинговых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коммуникаций в сфере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F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F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обобщенной трудовой функции:</w:t>
      </w:r>
    </w:p>
    <w:p w14:paraId="F9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 организацией и ее развитием»</w:t>
      </w:r>
    </w:p>
    <w:p w14:paraId="FA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4"/>
        <w:gridCol w:w="5877"/>
        <w:gridCol w:w="2733"/>
      </w:tblGrid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 – О</w:t>
            </w:r>
            <w:r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-зна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основ современного менеджмента, </w:t>
            </w:r>
            <w:r>
              <w:rPr>
                <w:rFonts w:ascii="Times New Roman" w:hAnsi="Times New Roman"/>
                <w:sz w:val="24"/>
              </w:rPr>
              <w:t>основных направлений государственной культурной политики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-умение определять цели, концепцию, целевые показатели и индикаторы развития учреждения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Научно-практические основы менеджмента 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аконодательны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акт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Федерации, регламентирующи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деятельность учреждений культуры </w:t>
            </w:r>
            <w:r>
              <w:rPr>
                <w:rFonts w:ascii="Times New Roman" w:hAnsi="Times New Roman"/>
                <w:sz w:val="24"/>
              </w:rPr>
              <w:t xml:space="preserve">(образования в сфере культуры) </w:t>
            </w:r>
            <w:r>
              <w:rPr>
                <w:rFonts w:ascii="Times New Roman" w:hAnsi="Times New Roman"/>
                <w:sz w:val="24"/>
              </w:rPr>
              <w:t>в Российской Федерации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разрабатывать локальные нормативные акты по основным вопросам организации и осуществления деятельности учреждений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регулирование деятельности учреждений</w:t>
            </w:r>
          </w:p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ОПК-3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 педагогики и психологии, </w:t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владеть навыками организации и мотивации коллектива, предупреждать конфликты и отстаивать собственную позицию.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Психолого-педагогические основы менеджмента 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ОПК-2, ОПК-5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методов поиска, сбора, хранения, обработки профессионально значимой информации, принципов и способов построения информационного пространства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учреждении культуры, технологии организации каналов коммуникации и способов защиты информации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пользоваться вычислительной и иной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вспомогательной техникой, информационными продуктами,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технологиями, средствами связи и коммуникаций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технологии в управленческой деятельности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УК-6, ОПК-1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современных подходов, методов, технологии и выявления нужд и профессиональных дефицитов работников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 культуры, профессиональной подготовки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профессионального развития.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 ставить задачи и распределять задания между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подчиненными, принимать управленческие решения в условиях различных мнений, формировать трудовую мотивацию, инициативу и активность работников</w:t>
            </w:r>
          </w:p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персоналом в учреждениях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УК-10, УК-11, ОПК-4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особенностей финансирования учреждений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  <w:r>
              <w:rPr>
                <w:rFonts w:ascii="Times New Roman" w:hAnsi="Times New Roman"/>
                <w:sz w:val="24"/>
              </w:rPr>
              <w:t xml:space="preserve"> с учетом организационно-правовой формы собственности, порядок финансового обеспечения оказания государственных и муниципальных услуг </w:t>
            </w:r>
          </w:p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финансовые и управленческие документы, проводить согласование статей бюджета в соответствии со стратегией учреждения, оценивать финансовую эффективность проведенного комплекса работ, оценивать риски в ведении финансовой деятельности учреждения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финансово-хозяйственной деятельности учреждений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УК-3 – </w:t>
            </w:r>
            <w:r>
              <w:rPr>
                <w:rFonts w:ascii="Times New Roman" w:hAnsi="Times New Roman"/>
                <w:sz w:val="24"/>
              </w:rPr>
              <w:t>УК-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основ маркетинга, форм и методов ведения рекламных кампаний,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выстраивать конструктивны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с социальными партнёрами и местным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сообществом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Маркетинговые коммуникации 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</w:tbl>
    <w:p w14:paraId="1E01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1F01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20010000">
      <w:pPr>
        <w:widowControl w:val="0"/>
        <w:spacing w:after="0" w:before="240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по дополнительной профессиональной программе повышения квалификации «Менеджмент в сфере культуры» проводится в форме </w:t>
      </w:r>
      <w:r>
        <w:rPr>
          <w:rFonts w:ascii="Times New Roman" w:hAnsi="Times New Roman"/>
          <w:sz w:val="28"/>
        </w:rPr>
        <w:t>зачета.</w:t>
      </w:r>
    </w:p>
    <w:p w14:paraId="21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22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демонстрации 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23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«не зачтено» выставляется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отсутстви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 на поставленный вопрос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либо в случае, если выступление носит поверхностный характер, не содержит фактологического материала,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выступлении</w:t>
      </w:r>
      <w:r>
        <w:rPr>
          <w:rFonts w:ascii="Times New Roman" w:hAnsi="Times New Roman"/>
          <w:sz w:val="28"/>
        </w:rPr>
        <w:t xml:space="preserve"> отсутствуют логичность и последовательность</w:t>
      </w:r>
      <w:r>
        <w:rPr>
          <w:rFonts w:ascii="Times New Roman" w:hAnsi="Times New Roman"/>
          <w:sz w:val="28"/>
        </w:rPr>
        <w:t>.</w:t>
      </w:r>
    </w:p>
    <w:p w14:paraId="24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1.2. Примерные вопросы к зачету</w:t>
      </w:r>
    </w:p>
    <w:p w14:paraId="25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менеджмента в сфере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26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механизмов менеджмента.</w:t>
      </w:r>
    </w:p>
    <w:p w14:paraId="27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культурной политики.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одели культурной политики.</w:t>
      </w:r>
    </w:p>
    <w:p w14:paraId="28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передачи информации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 Признаки информационной системы менеджмента.</w:t>
      </w:r>
    </w:p>
    <w:p w14:paraId="29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Понятие, сущность и основные компоненты организационной культуры.</w:t>
      </w:r>
    </w:p>
    <w:p w14:paraId="2A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деятельности руководителя учреждения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2B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Корпоративная культура. Фирменный стиль учреждений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2C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разработки организационных документов «Устав», «Положение», «Договор», «Должностная инструкция»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2D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культурной деятельности в современных условиях.</w:t>
      </w:r>
    </w:p>
    <w:p w14:paraId="2E010000">
      <w:pPr>
        <w:numPr>
          <w:ilvl w:val="0"/>
          <w:numId w:val="5"/>
        </w:numPr>
        <w:spacing w:after="0" w:line="240" w:lineRule="auto"/>
        <w:ind/>
        <w:jc w:val="both"/>
        <w:rPr>
          <w:rFonts w:ascii="FreeSans" w:hAnsi="FreeSans"/>
          <w:sz w:val="24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ормы и методы финансирования организаций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2F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Понятие, миссия и основные цели стратегического менеджмента.</w:t>
      </w:r>
    </w:p>
    <w:p w14:paraId="30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по управлению кадрами. Содержание и методы подбора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компетентного персонала.</w:t>
      </w:r>
    </w:p>
    <w:p w14:paraId="31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применения проф</w:t>
      </w:r>
      <w:r>
        <w:rPr>
          <w:rFonts w:ascii="Times New Roman" w:hAnsi="Times New Roman"/>
          <w:sz w:val="28"/>
        </w:rPr>
        <w:t xml:space="preserve">ессиональных </w:t>
      </w:r>
      <w:r>
        <w:rPr>
          <w:rFonts w:ascii="Times New Roman" w:hAnsi="Times New Roman"/>
          <w:sz w:val="28"/>
        </w:rPr>
        <w:t xml:space="preserve">стандартов в </w:t>
      </w:r>
      <w:r>
        <w:rPr>
          <w:rFonts w:ascii="Times New Roman" w:hAnsi="Times New Roman"/>
          <w:sz w:val="28"/>
        </w:rPr>
        <w:t>учреждениях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32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санкций, как определённой меры воздействия на подчиненных.</w:t>
      </w:r>
    </w:p>
    <w:p w14:paraId="33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Деловая этика.</w:t>
      </w:r>
    </w:p>
    <w:p w14:paraId="34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Профессиональное развитие персонала </w:t>
      </w:r>
      <w:r>
        <w:rPr>
          <w:rFonts w:ascii="Times New Roman" w:hAnsi="Times New Roman"/>
          <w:sz w:val="28"/>
        </w:rPr>
        <w:t xml:space="preserve">учреждений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35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Учёт и отчётность в сфере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36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контроля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37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Организационные отношения в коллективе.</w:t>
      </w:r>
    </w:p>
    <w:p w14:paraId="38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 методы стимулирования творческого персонала.</w:t>
      </w:r>
    </w:p>
    <w:p w14:paraId="39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мотивации и виды мотивов.</w:t>
      </w:r>
    </w:p>
    <w:p w14:paraId="3A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Лидерство и социально-психологическое содержания руководства.</w:t>
      </w:r>
    </w:p>
    <w:p w14:paraId="3B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стилей руководства.</w:t>
      </w:r>
    </w:p>
    <w:p w14:paraId="3C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менеджерские характеристики. Управленческие способности.</w:t>
      </w:r>
    </w:p>
    <w:p w14:paraId="3D010000">
      <w:pPr>
        <w:widowControl w:val="0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Преодоление конфликтов в трудовом коллективе.</w:t>
      </w:r>
    </w:p>
    <w:p w14:paraId="3E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3F010000">
      <w:pPr>
        <w:pStyle w:val="Style_4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40010000">
      <w:pPr>
        <w:pStyle w:val="Style_4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1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42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43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44010000">
      <w:pPr>
        <w:pStyle w:val="Style_4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45010000">
      <w:pPr>
        <w:pStyle w:val="Style_4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1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ДПП.</w:t>
      </w:r>
      <w:bookmarkEnd w:id="1"/>
    </w:p>
    <w:p w14:paraId="46010000">
      <w:pPr>
        <w:pStyle w:val="Style_4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7010000">
      <w:pPr>
        <w:pStyle w:val="Style_4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48010000">
      <w:pPr>
        <w:pStyle w:val="Style_4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49010000">
      <w:pPr>
        <w:pStyle w:val="Style_4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4A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bookmarkStart w:id="2" w:name="metkadoc3"/>
      <w:bookmarkStart w:id="3" w:name="metkadoc4"/>
      <w:bookmarkStart w:id="4" w:name="metkadoc5"/>
      <w:bookmarkStart w:id="5" w:name="xex20"/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а:</w:t>
      </w:r>
    </w:p>
    <w:p w14:paraId="4B010000">
      <w:pPr>
        <w:spacing w:after="0" w:line="240" w:lineRule="auto"/>
        <w:ind w:firstLine="72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Основная литература:</w:t>
      </w:r>
    </w:p>
    <w:p w14:paraId="4C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Авдулова Т. П. Менеджмент.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М.,</w:t>
      </w:r>
      <w:r>
        <w:rPr>
          <w:rFonts w:ascii="Times New Roman" w:hAnsi="Times New Roman"/>
          <w:sz w:val="28"/>
        </w:rPr>
        <w:t xml:space="preserve"> ГЭОТАР-Медиа. 2013. </w:t>
      </w:r>
    </w:p>
    <w:p w14:paraId="4D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Виханский О. С., Наумов А. И. Менеджмент. – М., 2007.</w:t>
      </w:r>
    </w:p>
    <w:p w14:paraId="4E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Дафт Р.Л. Менеджмент.– СПб., Питер, 2000.</w:t>
      </w:r>
    </w:p>
    <w:p w14:paraId="4F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Карпов А. В. Психология менеджмента. – М., 2006.</w:t>
      </w:r>
    </w:p>
    <w:p w14:paraId="50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Казначевская Г. Б., Чуев И. Н., Матросова О. В. Менеджмент.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М., Феникс. 2013 </w:t>
      </w:r>
    </w:p>
    <w:p w14:paraId="51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Мескон М., Альберт М., Хедоури Ф. Основы менеджмента. – М., 2009.</w:t>
      </w:r>
    </w:p>
    <w:p w14:paraId="52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Переверзев М. П., Косцов Т. В. Менеджмент в сфере культуры и искусства. – М., 2009. </w:t>
      </w:r>
    </w:p>
    <w:p w14:paraId="53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Тульчинский Г.Л., Шекова Е.Л. Менеджмент в сфере культуры.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2009.</w:t>
      </w:r>
    </w:p>
    <w:p w14:paraId="54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Чижиков В. М., Чижиков В. В. Введение в социокультурный менеджмент. – М., 2003.</w:t>
      </w:r>
    </w:p>
    <w:p w14:paraId="55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и менеджмент в сфере культуры : учеб. пособие / Науч. ред. Н. В. Кротова, Е. В. Галаева, И. В. Чарная. – М., 2007.</w:t>
      </w:r>
    </w:p>
    <w:p w14:paraId="5601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Дополнительная литература:</w:t>
      </w:r>
    </w:p>
    <w:p w14:paraId="57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Веснин В.Р. Менеджмент в вопросах и ответах.– Москва: Проспект, 2003. </w:t>
      </w:r>
    </w:p>
    <w:p w14:paraId="58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Врадемас Д. Управление и искусство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 СПб., 2005. </w:t>
      </w:r>
    </w:p>
    <w:p w14:paraId="59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Герчикова И.Н. Менеджмент. – М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>: Банки и биржи,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2000. </w:t>
      </w:r>
    </w:p>
    <w:p w14:paraId="5A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Друкер П. Задачи менеджмента в ХХI веке / Пер. с англ. – М., 2001.</w:t>
      </w:r>
    </w:p>
    <w:p w14:paraId="5B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Егоршин А.П. Управление персоналом. – М., 2004.</w:t>
      </w:r>
    </w:p>
    <w:p w14:paraId="5C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Желтенков А. В. Основы менеджмента: учеб. пособие/А. В. Желтенков, И. М. Жураховская, В. С. Семенович, С. А. Рябиченко, И. В. Брага, Я. К. Фимушкин – М.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2012. </w:t>
      </w:r>
    </w:p>
    <w:p w14:paraId="5D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Котлер Ф. Маркетинг. Менеджмент / Пер. с англ. – М., 2001.</w:t>
      </w:r>
    </w:p>
    <w:p w14:paraId="5E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Мерсер Д. Управление в самой преуспевающей корпорации мира. IBM.-М.: Экономика, 1994.</w:t>
      </w:r>
    </w:p>
    <w:p w14:paraId="5F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Мильнер Б.З. Теория организации. – М., 2001.</w:t>
      </w:r>
    </w:p>
    <w:p w14:paraId="60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Резник С.Д. Персональный менеджмент. – М., 2005.</w:t>
      </w:r>
    </w:p>
    <w:p w14:paraId="61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Ромашенко В.Н. Принятие решений: ситуации и советы. – М., 1999.</w:t>
      </w:r>
    </w:p>
    <w:p w14:paraId="62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Румянцева З.П. и др. Общее управление организацией: принципы и процессы. – М., 2000.</w:t>
      </w:r>
    </w:p>
    <w:p w14:paraId="63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Спивак В.А. Корпоративная культура. – М., 2001.</w:t>
      </w:r>
    </w:p>
    <w:p w14:paraId="64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организацией / Под ред. А.Г. Поршнева, З.П. Румянцевой. – М., 2000.</w:t>
      </w:r>
    </w:p>
    <w:p w14:paraId="65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Уткин Э.А. Конфликтология. Теория и практика. – М., 2000.</w:t>
      </w:r>
    </w:p>
    <w:p w14:paraId="66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Цыпкин Ю.А.</w:t>
      </w:r>
      <w:r>
        <w:rPr>
          <w:rFonts w:ascii="Times New Roman" w:hAnsi="Times New Roman"/>
          <w:sz w:val="28"/>
        </w:rPr>
        <w:t xml:space="preserve"> Люкшинов А.Н., Эриашвили Н.Д. Менеджмент. – М., 2001.</w:t>
      </w:r>
      <w:bookmarkEnd w:id="2"/>
      <w:bookmarkEnd w:id="3"/>
      <w:bookmarkEnd w:id="4"/>
      <w:bookmarkEnd w:id="5"/>
    </w:p>
    <w:p w14:paraId="67010000">
      <w:pPr>
        <w:spacing w:after="0" w:line="240" w:lineRule="auto"/>
        <w:ind w:hanging="284" w:left="284"/>
        <w:jc w:val="center"/>
        <w:rPr>
          <w:rFonts w:ascii="Times New Roman" w:hAnsi="Times New Roman"/>
          <w:b w:val="1"/>
          <w:sz w:val="28"/>
        </w:rPr>
      </w:pPr>
      <w:r>
        <w:br w:type="page"/>
      </w:r>
      <w:r>
        <w:rPr>
          <w:rFonts w:ascii="Times New Roman" w:hAnsi="Times New Roman"/>
          <w:b w:val="1"/>
          <w:sz w:val="28"/>
        </w:rPr>
        <w:t xml:space="preserve"> Примерный учебный план 36 часов</w:t>
      </w:r>
    </w:p>
    <w:p w14:paraId="68010000">
      <w:pPr>
        <w:spacing w:after="0" w:line="240" w:lineRule="auto"/>
        <w:ind w:hanging="284" w:left="284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5"/>
        <w:gridCol w:w="6102"/>
        <w:gridCol w:w="1122"/>
        <w:gridCol w:w="1122"/>
        <w:gridCol w:w="1122"/>
      </w:tblGrid>
      <w:tr>
        <w:tc>
          <w:tcPr>
            <w:tcW w:type="dxa" w:w="9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61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sz w:val="28"/>
              </w:rPr>
              <w:t>модулей</w:t>
            </w:r>
          </w:p>
        </w:tc>
        <w:tc>
          <w:tcPr>
            <w:tcW w:type="dxa" w:w="33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c>
          <w:tcPr>
            <w:tcW w:type="dxa" w:w="9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1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widowControl w:val="0"/>
              <w:spacing w:after="0" w:line="240" w:lineRule="auto"/>
              <w:ind w:right="-2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Аудиторных часов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widowControl w:val="0"/>
              <w:spacing w:after="0" w:line="240" w:lineRule="auto"/>
              <w:ind w:right="-2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Самостоятельная </w:t>
            </w:r>
            <w:r>
              <w:rPr>
                <w:rFonts w:ascii="XO Thames" w:hAnsi="XO Thames"/>
                <w:sz w:val="28"/>
              </w:rPr>
              <w:t>р</w:t>
            </w:r>
            <w:r>
              <w:rPr>
                <w:rFonts w:ascii="XO Thames" w:hAnsi="XO Thames"/>
                <w:sz w:val="28"/>
              </w:rPr>
              <w:t>абота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line="240" w:lineRule="auto"/>
              <w:ind/>
              <w:jc w:val="both"/>
              <w:rPr>
                <w:rFonts w:ascii="XO Thames" w:hAnsi="XO Thames"/>
                <w:b w:val="0"/>
                <w:color w:val="000000"/>
                <w:sz w:val="28"/>
              </w:rPr>
            </w:pPr>
            <w:r>
              <w:rPr>
                <w:rFonts w:ascii="XO Thames" w:hAnsi="XO Thames"/>
                <w:b w:val="0"/>
                <w:color w:val="000000"/>
                <w:sz w:val="28"/>
              </w:rPr>
              <w:t>Вопросы эффективности развития детских школ искусств.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 xml:space="preserve">Государственная регламентация образовательной деятельности в системе </w:t>
            </w:r>
            <w:r>
              <w:rPr>
                <w:rFonts w:ascii="XO Thames" w:hAnsi="XO Thames"/>
                <w:b w:val="0"/>
                <w:sz w:val="28"/>
              </w:rPr>
              <w:t>дополнительного образования детей</w:t>
            </w:r>
            <w:r>
              <w:rPr>
                <w:rFonts w:ascii="XO Thames" w:hAnsi="XO Thames"/>
                <w:b w:val="0"/>
                <w:color w:val="404040"/>
                <w:sz w:val="28"/>
              </w:rPr>
              <w:t>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«Опыт формирования материально-технической и методической базы для художественного образования детей. Обеспечение условий безопасности в ДШИ».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0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«Опыт реализации мероприятий в рамках нацпроекта «Культура»: проблемы и пути решения»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0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«Актуальные вопросы формирования контингента учащихся и взаимодействия с образовательными учреждениями муниципалитета и региона».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«Опыт работы с цифровыми ресурсами в образовательном процессе и конкурсных мероприятиях».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0</w:t>
            </w:r>
          </w:p>
        </w:tc>
      </w:tr>
      <w:tr>
        <w:trPr>
          <w:trHeight w:hRule="atLeast" w:val="706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numPr>
                <w:ilvl w:val="0"/>
                <w:numId w:val="8"/>
              </w:num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color w:val="000000"/>
                <w:sz w:val="28"/>
              </w:rPr>
              <w:t xml:space="preserve">«Конкурсные и фестивальные проекты ДШИ. Возможности интеграции в систему музыкального образования в Кировской области» 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rPr>
          <w:trHeight w:hRule="atLeast" w:val="706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8.</w:t>
            </w: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Повышения квалификации в развитии учреждений дополнительного образования детей.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rPr>
          <w:trHeight w:hRule="atLeast" w:val="706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9.</w:t>
            </w: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line="240" w:lineRule="auto"/>
              <w:ind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Психология управления</w:t>
            </w:r>
            <w:r>
              <w:rPr>
                <w:rFonts w:ascii="XO Thames" w:hAnsi="XO Thames"/>
                <w:b w:val="0"/>
                <w:sz w:val="28"/>
              </w:rPr>
              <w:t xml:space="preserve">. 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2</w:t>
            </w: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Итоговая аттестация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</w:p>
        </w:tc>
      </w:tr>
      <w:t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</w:tr>
    </w:tbl>
    <w:p w14:paraId="A6010000">
      <w:p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</w:p>
    <w:p w14:paraId="A7010000">
      <w:p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</w:p>
    <w:p w14:paraId="A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 учебному плану на 36 час</w:t>
      </w:r>
      <w:r>
        <w:rPr>
          <w:rFonts w:ascii="Times New Roman" w:hAnsi="Times New Roman"/>
          <w:b w:val="1"/>
          <w:sz w:val="28"/>
        </w:rPr>
        <w:t>ов</w:t>
      </w:r>
    </w:p>
    <w:p w14:paraId="A9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A010000">
      <w:pPr>
        <w:ind/>
        <w:jc w:val="center"/>
        <w:rPr>
          <w:rFonts w:ascii="XO Thames" w:hAnsi="XO Thames"/>
          <w:b w:val="1"/>
          <w:color w:val="404040"/>
          <w:sz w:val="28"/>
        </w:rPr>
      </w:pPr>
      <w:r>
        <w:rPr>
          <w:rFonts w:ascii="XO Thames" w:hAnsi="XO Thames"/>
          <w:b w:val="1"/>
          <w:sz w:val="28"/>
        </w:rPr>
        <w:t>Модуль 1.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color w:val="000000"/>
          <w:sz w:val="28"/>
        </w:rPr>
        <w:t>Вопросы эффективности развития детских школ искусств</w:t>
      </w:r>
    </w:p>
    <w:p w14:paraId="AB010000">
      <w:pPr>
        <w:spacing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Приоритетные задачи государственной культурной политики сегодня. </w:t>
      </w:r>
      <w:r>
        <w:rPr>
          <w:rFonts w:ascii="XO Thames" w:hAnsi="XO Thames"/>
          <w:sz w:val="28"/>
        </w:rPr>
        <w:t xml:space="preserve">Отличительная особенность функционирования первой ступени отечественной системы </w:t>
      </w:r>
      <w:r>
        <w:rPr>
          <w:rFonts w:ascii="XO Thames" w:hAnsi="XO Thames"/>
          <w:sz w:val="28"/>
        </w:rPr>
        <w:t>дополнительного</w:t>
      </w:r>
      <w:r>
        <w:rPr>
          <w:rFonts w:ascii="XO Thames" w:hAnsi="XO Thames"/>
          <w:sz w:val="28"/>
        </w:rPr>
        <w:t xml:space="preserve"> образования </w:t>
      </w:r>
      <w:r>
        <w:rPr>
          <w:rFonts w:ascii="XO Thames" w:hAnsi="XO Thames"/>
          <w:sz w:val="28"/>
        </w:rPr>
        <w:t xml:space="preserve">детей. </w:t>
      </w:r>
      <w:r>
        <w:rPr>
          <w:rFonts w:ascii="XO Thames" w:hAnsi="XO Thames"/>
          <w:sz w:val="28"/>
        </w:rPr>
        <w:t xml:space="preserve">Задачи воспитания молодого поколения в учреждениях для детей и молодежи, к которым относятся и ДШИ. </w:t>
      </w:r>
    </w:p>
    <w:p w14:paraId="AC010000">
      <w:p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Развитие сети ДШИ посредством методического и творческого взаимодействия с колледжами, училищами и вузами отрасли культуры.</w:t>
      </w:r>
    </w:p>
    <w:p w14:paraId="AD010000">
      <w:p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Увеличение количества мест для обучения одаренных детей по дополнительным предпрофессиональным программам в области искусств. М</w:t>
      </w:r>
      <w:r>
        <w:rPr>
          <w:rFonts w:ascii="XO Thames" w:hAnsi="XO Thames"/>
          <w:sz w:val="28"/>
        </w:rPr>
        <w:t>одернизация материально-технической базы ДШИ. Ф</w:t>
      </w:r>
      <w:r>
        <w:rPr>
          <w:rFonts w:ascii="XO Thames" w:hAnsi="XO Thames"/>
          <w:sz w:val="28"/>
        </w:rPr>
        <w:t>ормирование новых принципов финансового обеспечения деятельности ДШИ. П</w:t>
      </w:r>
      <w:r>
        <w:rPr>
          <w:rFonts w:ascii="XO Thames" w:hAnsi="XO Thames"/>
          <w:sz w:val="28"/>
        </w:rPr>
        <w:t>овышение кадрового потенциала работников ДШИ.</w:t>
      </w:r>
    </w:p>
    <w:p w14:paraId="AE010000">
      <w:pPr>
        <w:ind/>
        <w:jc w:val="both"/>
        <w:rPr>
          <w:rFonts w:ascii="XO Thames" w:hAnsi="XO Thames"/>
          <w:sz w:val="28"/>
        </w:rPr>
      </w:pPr>
    </w:p>
    <w:p w14:paraId="AF01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color w:val="262626"/>
          <w:sz w:val="28"/>
        </w:rPr>
        <w:t>Модуль 2.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Государственная регламентация образовательной деятельности</w:t>
      </w:r>
      <w:r>
        <w:rPr>
          <w:rFonts w:ascii="XO Thames" w:hAnsi="XO Thames"/>
          <w:b w:val="1"/>
          <w:sz w:val="28"/>
        </w:rPr>
        <w:t xml:space="preserve"> в сфере дополнительного образования детей</w:t>
      </w:r>
    </w:p>
    <w:p w14:paraId="B0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Вопросы лицензирования образовательных учреждений</w:t>
      </w:r>
      <w:r>
        <w:rPr>
          <w:rFonts w:ascii="XO Thames" w:hAnsi="XO Thames"/>
          <w:sz w:val="28"/>
        </w:rPr>
        <w:t xml:space="preserve">.  Какими органами осуществляется лицензирование образовательной деятельности. Компетенция Федеральной службы по надзору в сфере образования и науки и органов исполнительной власти субъектов Российской Федерации в части лицензирования образовательной деятельности. </w:t>
      </w:r>
      <w:r>
        <w:rPr>
          <w:rFonts w:ascii="XO Thames" w:hAnsi="XO Thames"/>
          <w:sz w:val="28"/>
        </w:rPr>
        <w:t xml:space="preserve">Какая образовательная деятельность не подлежит лицензированию. </w:t>
      </w:r>
      <w:r>
        <w:rPr>
          <w:rFonts w:ascii="XO Thames" w:hAnsi="XO Thames"/>
          <w:sz w:val="28"/>
        </w:rPr>
        <w:t xml:space="preserve">Документы, подтверждающие наличие у соискателя лицензии или лицензиата в собственности или на ином законном основании оснащенных зданий, строений, сооружений, помещений и территорий, соответствующих установленным лицензионным нормативам обеспечения образовательной деятельности по заявленным для лицензирования образовательным программам.  Документы, свидетельствующие о наличии иного законного основания для использования указанных объектов недвижимости, помимо свидетельства о государственной регистрации права собственности. </w:t>
      </w:r>
    </w:p>
    <w:p w14:paraId="B1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Модуль 3.</w:t>
      </w:r>
      <w:r>
        <w:rPr>
          <w:rFonts w:ascii="XO Thames" w:hAnsi="XO Thames"/>
          <w:b w:val="1"/>
          <w:color w:val="404040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Опыт формирования материально-технической и методической базы для художественного образования детей. Обеспечение условий безопасности в ДШИ</w:t>
      </w:r>
    </w:p>
    <w:p w14:paraId="B2010000">
      <w:pPr>
        <w:ind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Обмен опытом работы. Экскурсия</w:t>
      </w:r>
    </w:p>
    <w:p w14:paraId="B3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Экскурсия по школе и обмен опытом работы от директора детской  школы искусств. </w:t>
      </w:r>
      <w:r>
        <w:rPr>
          <w:rFonts w:ascii="XO Thames" w:hAnsi="XO Thames"/>
          <w:i w:val="1"/>
          <w:sz w:val="28"/>
        </w:rPr>
        <w:t>Основные пробл</w:t>
      </w:r>
      <w:r>
        <w:rPr>
          <w:rFonts w:ascii="XO Thames" w:hAnsi="XO Thames"/>
          <w:i w:val="1"/>
          <w:sz w:val="28"/>
        </w:rPr>
        <w:t>е</w:t>
      </w:r>
      <w:r>
        <w:rPr>
          <w:rFonts w:ascii="XO Thames" w:hAnsi="XO Thames"/>
          <w:i w:val="1"/>
          <w:sz w:val="28"/>
        </w:rPr>
        <w:t>мы и пути их решения</w:t>
      </w:r>
      <w:r>
        <w:rPr>
          <w:rFonts w:ascii="XO Thames" w:hAnsi="XO Thames"/>
          <w:sz w:val="28"/>
        </w:rPr>
        <w:t>:</w:t>
      </w:r>
    </w:p>
    <w:p w14:paraId="B4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— при организации учебного процесса. </w:t>
      </w:r>
    </w:p>
    <w:p w14:paraId="B5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— при проведении технической инвентаризации объектов ДШИ.</w:t>
      </w:r>
    </w:p>
    <w:p w14:paraId="B6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— при проведении работ по ремонту, благоустройству, переоснащению и модернизации материально-технической базы объектов ДШИ. </w:t>
      </w:r>
    </w:p>
    <w:p w14:paraId="B7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— при обеспечении ДШИ учебниками и учебно-методическими пособиями. </w:t>
      </w:r>
    </w:p>
    <w:p w14:paraId="B8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— для развития издательского направления.</w:t>
      </w:r>
    </w:p>
    <w:p w14:paraId="B901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color w:val="262626"/>
          <w:sz w:val="28"/>
        </w:rPr>
        <w:t xml:space="preserve">Модуль 4. </w:t>
      </w:r>
      <w:r>
        <w:rPr>
          <w:rFonts w:ascii="XO Thames" w:hAnsi="XO Thames"/>
          <w:b w:val="1"/>
          <w:sz w:val="28"/>
        </w:rPr>
        <w:t>Опыт реализации мероприятий в рамках нацпроекта «Куль</w:t>
      </w:r>
      <w:r>
        <w:rPr>
          <w:rFonts w:ascii="XO Thames" w:hAnsi="XO Thames"/>
          <w:b w:val="1"/>
          <w:sz w:val="28"/>
        </w:rPr>
        <w:t>тура»: проблемы и пути решения</w:t>
      </w:r>
    </w:p>
    <w:p w14:paraId="BA010000">
      <w:pPr>
        <w:ind/>
        <w:jc w:val="left"/>
        <w:rPr>
          <w:rFonts w:ascii="XO Thames" w:hAnsi="XO Thames"/>
          <w:b w:val="1"/>
          <w:sz w:val="28"/>
        </w:rPr>
      </w:pPr>
      <w:r>
        <w:rPr>
          <w:rFonts w:ascii="XO Thames" w:hAnsi="XO Thames"/>
          <w:i w:val="1"/>
          <w:sz w:val="28"/>
        </w:rPr>
        <w:t xml:space="preserve"> Обмен опытом работы. Экскурсия</w:t>
      </w:r>
      <w:r>
        <w:rPr>
          <w:rFonts w:ascii="XO Thames" w:hAnsi="XO Thames"/>
          <w:b w:val="1"/>
          <w:i w:val="1"/>
          <w:color w:val="262626"/>
          <w:sz w:val="28"/>
        </w:rPr>
        <w:t xml:space="preserve"> </w:t>
      </w:r>
    </w:p>
    <w:p w14:paraId="BB010000">
      <w:pPr>
        <w:ind w:firstLine="709"/>
        <w:jc w:val="both"/>
        <w:rPr>
          <w:rFonts w:ascii="XO Thames" w:hAnsi="XO Thames"/>
          <w:b w:val="1"/>
          <w:color w:val="262626"/>
          <w:sz w:val="28"/>
        </w:rPr>
      </w:pPr>
      <w:r>
        <w:rPr>
          <w:rFonts w:ascii="XO Thames" w:hAnsi="XO Thames"/>
          <w:sz w:val="28"/>
        </w:rPr>
        <w:t>Экскурсия по школе и обмен опытом работы реализации нацпроекта «Культура» от директора Детской школы искусств (по согласованию).</w:t>
      </w:r>
      <w:r>
        <w:rPr>
          <w:rFonts w:ascii="XO Thames" w:hAnsi="XO Thames"/>
          <w:sz w:val="28"/>
        </w:rPr>
        <w:t xml:space="preserve"> Информац</w:t>
      </w:r>
      <w:r>
        <w:rPr>
          <w:rFonts w:ascii="XO Thames" w:hAnsi="XO Thames"/>
          <w:sz w:val="28"/>
        </w:rPr>
        <w:t xml:space="preserve">ия о проблемах и трудностях, связанных с ремонтными работами и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путях развития школы. О</w:t>
      </w:r>
      <w:r>
        <w:rPr>
          <w:rFonts w:ascii="XO Thames" w:hAnsi="XO Thames"/>
          <w:sz w:val="28"/>
        </w:rPr>
        <w:t>формление подготовительной проектно-сметной документации, демонтажные работы.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color w:val="262626"/>
          <w:sz w:val="28"/>
        </w:rPr>
        <w:t xml:space="preserve">Обмен опытом работы </w:t>
      </w:r>
      <w:r>
        <w:rPr>
          <w:rFonts w:ascii="XO Thames" w:hAnsi="XO Thames"/>
          <w:color w:val="262626"/>
          <w:sz w:val="28"/>
        </w:rPr>
        <w:t>по данному направлению.</w:t>
      </w:r>
    </w:p>
    <w:p w14:paraId="BC010000">
      <w:pPr>
        <w:ind w:firstLine="709"/>
        <w:jc w:val="both"/>
        <w:rPr>
          <w:rFonts w:ascii="XO Thames" w:hAnsi="XO Thames"/>
          <w:sz w:val="28"/>
        </w:rPr>
      </w:pPr>
    </w:p>
    <w:p w14:paraId="BD01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color w:val="262626"/>
          <w:sz w:val="28"/>
        </w:rPr>
        <w:t> </w:t>
      </w:r>
      <w:r>
        <w:rPr>
          <w:rFonts w:ascii="XO Thames" w:hAnsi="XO Thames"/>
          <w:b w:val="1"/>
          <w:color w:val="262626"/>
          <w:sz w:val="28"/>
        </w:rPr>
        <w:t>Модуль 5.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Актуальные</w:t>
      </w:r>
      <w:r>
        <w:rPr>
          <w:rFonts w:ascii="XO Thames" w:hAnsi="XO Thames"/>
          <w:b w:val="1"/>
          <w:sz w:val="28"/>
        </w:rPr>
        <w:t xml:space="preserve"> вопросы формирования контингента учащихся и взаимодействия с образовательными учрежде</w:t>
      </w:r>
      <w:r>
        <w:rPr>
          <w:rFonts w:ascii="XO Thames" w:hAnsi="XO Thames"/>
          <w:b w:val="1"/>
          <w:sz w:val="28"/>
        </w:rPr>
        <w:t>ниями муниципалитета и региона</w:t>
      </w:r>
    </w:p>
    <w:p w14:paraId="BE010000">
      <w:pPr>
        <w:ind w:firstLine="0" w:left="34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Круглый стол</w:t>
      </w:r>
    </w:p>
    <w:p w14:paraId="BF010000">
      <w:pPr>
        <w:ind w:firstLine="0" w:left="34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ab/>
      </w:r>
      <w:r>
        <w:rPr>
          <w:rFonts w:ascii="XO Thames" w:hAnsi="XO Thames"/>
          <w:sz w:val="28"/>
        </w:rPr>
        <w:t>Выступление с докладами, обмен опытом в рамках круглого стола</w:t>
      </w:r>
      <w:r>
        <w:rPr>
          <w:rFonts w:ascii="XO Thames" w:hAnsi="XO Thames"/>
          <w:sz w:val="28"/>
        </w:rPr>
        <w:t xml:space="preserve"> руководителей д</w:t>
      </w:r>
      <w:r>
        <w:rPr>
          <w:rFonts w:ascii="XO Thames" w:hAnsi="XO Thames"/>
          <w:sz w:val="28"/>
        </w:rPr>
        <w:t>етских школ искусств города Кирова</w:t>
      </w:r>
      <w:r>
        <w:rPr>
          <w:rFonts w:ascii="XO Thames" w:hAnsi="XO Thames"/>
          <w:sz w:val="28"/>
        </w:rPr>
        <w:t>,  Кировской области</w:t>
      </w:r>
      <w:r>
        <w:rPr>
          <w:rFonts w:ascii="XO Thames" w:hAnsi="XO Thames"/>
          <w:sz w:val="28"/>
        </w:rPr>
        <w:t>. Дискуссия. Обсуждение интересующих слушателей общих проблем и вопросов.</w:t>
      </w:r>
    </w:p>
    <w:p w14:paraId="C0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Проблема сохранения контингента в ДШИ.  Каковы же предлагаемые пути решения проблемы?</w:t>
      </w:r>
    </w:p>
    <w:p w14:paraId="C1010000">
      <w:pPr>
        <w:ind w:firstLine="709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b w:val="1"/>
          <w:color w:val="262626"/>
          <w:sz w:val="28"/>
        </w:rPr>
        <w:t>Модуль 6.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Опыт работы с цифровыми ресурсами в образовательном процессе и конкурсных мероприятиях</w:t>
      </w:r>
    </w:p>
    <w:p w14:paraId="C2010000">
      <w:pPr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color w:val="000000"/>
          <w:sz w:val="28"/>
        </w:rPr>
        <w:t xml:space="preserve"> Информационно-коммуникационные технологии, пути индивидуализации обучения. Адаптированные варианты учебных программ для детей с недостаточными музыкальными данными. З</w:t>
      </w:r>
      <w:r>
        <w:rPr>
          <w:rFonts w:ascii="XO Thames" w:hAnsi="XO Thames"/>
          <w:color w:val="000000"/>
          <w:sz w:val="28"/>
        </w:rPr>
        <w:t>доровьесберегающие</w:t>
      </w:r>
      <w:r>
        <w:rPr>
          <w:rFonts w:ascii="XO Thames" w:hAnsi="XO Thames"/>
          <w:color w:val="000000"/>
          <w:sz w:val="28"/>
        </w:rPr>
        <w:t xml:space="preserve"> технологии. Контроль и оценка результатов обучения.</w:t>
      </w:r>
      <w:r>
        <w:rPr>
          <w:rFonts w:ascii="XO Thames" w:hAnsi="XO Thames"/>
          <w:sz w:val="28"/>
        </w:rPr>
        <w:t xml:space="preserve"> Цифровой образовательный ресурс.</w:t>
      </w:r>
      <w:r>
        <w:rPr>
          <w:rFonts w:ascii="XO Thames" w:hAnsi="XO Thames"/>
          <w:sz w:val="28"/>
        </w:rPr>
        <w:t xml:space="preserve"> АртРесурс РФ, сайты высших учебных заведений с видеоуроками и другие полезные методические материалы.</w:t>
      </w:r>
    </w:p>
    <w:p w14:paraId="C3010000">
      <w:pPr>
        <w:ind/>
        <w:jc w:val="both"/>
        <w:rPr>
          <w:rFonts w:ascii="XO Thames" w:hAnsi="XO Thames"/>
          <w:sz w:val="28"/>
        </w:rPr>
      </w:pPr>
    </w:p>
    <w:p w14:paraId="C4010000">
      <w:pPr>
        <w:ind/>
        <w:jc w:val="center"/>
        <w:rPr>
          <w:rFonts w:ascii="XO Thames" w:hAnsi="XO Thames"/>
          <w:b w:val="1"/>
          <w:color w:val="000000"/>
          <w:sz w:val="28"/>
        </w:rPr>
      </w:pPr>
      <w:r>
        <w:rPr>
          <w:rFonts w:ascii="XO Thames" w:hAnsi="XO Thames"/>
          <w:b w:val="1"/>
          <w:color w:val="262626"/>
          <w:sz w:val="28"/>
        </w:rPr>
        <w:t xml:space="preserve">Модуль 7. </w:t>
      </w:r>
      <w:r>
        <w:rPr>
          <w:rFonts w:ascii="XO Thames" w:hAnsi="XO Thames"/>
          <w:b w:val="1"/>
          <w:color w:val="000000"/>
          <w:sz w:val="28"/>
        </w:rPr>
        <w:t>Конкурсные и фестивальные проекты ДШИ. Возможности интеграции в систему музыкального образования в Кировской области</w:t>
      </w:r>
    </w:p>
    <w:p w14:paraId="C5010000">
      <w:pPr>
        <w:ind w:firstLine="0" w:left="34"/>
        <w:jc w:val="both"/>
        <w:rPr>
          <w:rFonts w:ascii="XO Thames" w:hAnsi="XO Thames"/>
          <w:b w:val="1"/>
          <w:i w:val="1"/>
          <w:color w:val="262626"/>
          <w:sz w:val="28"/>
        </w:rPr>
      </w:pPr>
      <w:r>
        <w:rPr>
          <w:rFonts w:ascii="XO Thames" w:hAnsi="XO Thames"/>
          <w:i w:val="1"/>
          <w:color w:val="404040"/>
          <w:sz w:val="28"/>
        </w:rPr>
        <w:t>Круглый стол</w:t>
      </w:r>
    </w:p>
    <w:p w14:paraId="C6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Участие в конкурсах - стимул для упорной работы как учащихся так и преподавателей ДШИ и ДХШ. Организация конкурсной деятельности. Обсуждение</w:t>
      </w:r>
      <w:r>
        <w:rPr>
          <w:rFonts w:ascii="XO Thames" w:hAnsi="XO Thames"/>
          <w:sz w:val="28"/>
        </w:rPr>
        <w:t xml:space="preserve"> общешкольных, городских и областных мероприятий,  проводимых в ДШИ города и области.</w:t>
      </w:r>
    </w:p>
    <w:p w14:paraId="C7010000">
      <w:pPr>
        <w:ind w:firstLine="0" w:left="34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Модуль 8. П</w:t>
      </w:r>
      <w:r>
        <w:rPr>
          <w:rFonts w:ascii="XO Thames" w:hAnsi="XO Thames"/>
          <w:b w:val="1"/>
          <w:sz w:val="28"/>
        </w:rPr>
        <w:t>овышение квалификации в развитии учреждений дополнительного образования детей</w:t>
      </w:r>
    </w:p>
    <w:p w14:paraId="C8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Проблема кадрового потенциала для детских школ искусств. </w:t>
      </w:r>
    </w:p>
    <w:p w14:paraId="C9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Предложения по формированию новой модели педагогической карьеры и сопровождения профессионального развития, через:</w:t>
      </w:r>
    </w:p>
    <w:p w14:paraId="CA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— систему профессиональной мотивации (престиж и признание, выдвижение на конкурсы, гранты, предоставление возможности реализации авторских методик и т.п.);</w:t>
      </w:r>
    </w:p>
    <w:p w14:paraId="CB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—  подготовку профессиональных педагогических кадров в области искусства в высших учебных заведениях, реализующих профессиональные программы в области искусства;</w:t>
      </w:r>
    </w:p>
    <w:p w14:paraId="CC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— ведение практики повышения квалификации, профессиональной подготовки и переподготовки педагогических работников системы на базе существующих учреждений дополнительного профессионального образования, повышения квалификации и переквалификации кадров; разработка соответствующих методик, рекомендаций и программ.</w:t>
      </w:r>
    </w:p>
    <w:p w14:paraId="CD01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Модуль 9.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 xml:space="preserve">Психология управления </w:t>
      </w:r>
    </w:p>
    <w:p w14:paraId="CE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Управление – процесс достижения цели усилиями других людей. Каким образом побудить людей к совершению действий для достижения  цели, которая может быть им совершенно чуждой? </w:t>
      </w:r>
    </w:p>
    <w:p w14:paraId="CF010000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Продукты управленческой деятельности. Особенности личности руководителя. Управленческие потребности и способности, индивидуальная управленческая концепция, принципы и правила управления. </w:t>
      </w:r>
    </w:p>
    <w:p w14:paraId="D0010000">
      <w:p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851" w:footer="709" w:gutter="0" w:header="709" w:left="1134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14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hanging="360" w:left="107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4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hanging="360" w:left="36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ConsNormal"/>
    <w:link w:val="Style_6_ch"/>
    <w:pPr>
      <w:widowControl w:val="0"/>
      <w:ind w:firstLine="720" w:right="19772"/>
    </w:pPr>
    <w:rPr>
      <w:rFonts w:ascii="Arial" w:hAnsi="Arial"/>
    </w:rPr>
  </w:style>
  <w:style w:styleId="Style_6_ch" w:type="character">
    <w:name w:val="ConsNormal"/>
    <w:link w:val="Style_6"/>
    <w:rPr>
      <w:rFonts w:ascii="Arial" w:hAnsi="Arial"/>
    </w:rPr>
  </w:style>
  <w:style w:styleId="Style_7" w:type="paragraph">
    <w:name w:val="Balloon Text"/>
    <w:basedOn w:val="Style_5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"/>
    <w:link w:val="Style_9_ch"/>
  </w:style>
  <w:style w:styleId="Style_9_ch" w:type="character">
    <w:name w:val="w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Body Text Indent"/>
    <w:basedOn w:val="Style_5_ch"/>
    <w:link w:val="Style_14"/>
    <w:rPr>
      <w:rFonts w:ascii="Times New Roman" w:hAnsi="Times New Roman"/>
      <w:sz w:val="24"/>
    </w:rPr>
  </w:style>
  <w:style w:styleId="Style_15" w:type="paragraph">
    <w:name w:val="ConsPlusNormal"/>
    <w:link w:val="Style_15_ch"/>
    <w:rPr>
      <w:rFonts w:ascii="Calibri" w:hAnsi="Calibri"/>
      <w:b w:val="1"/>
    </w:rPr>
  </w:style>
  <w:style w:styleId="Style_15_ch" w:type="character">
    <w:name w:val="ConsPlusNormal"/>
    <w:link w:val="Style_15"/>
    <w:rPr>
      <w:rFonts w:ascii="Calibri" w:hAnsi="Calibri"/>
      <w:b w:val="1"/>
    </w:rPr>
  </w:style>
  <w:style w:styleId="Style_16" w:type="paragraph">
    <w:name w:val="head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5_ch"/>
    <w:link w:val="Style_16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rmal (Web)"/>
    <w:basedOn w:val="Style_5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5_ch"/>
    <w:link w:val="Style_18"/>
    <w:rPr>
      <w:rFonts w:ascii="Times New Roman" w:hAnsi="Times New Roman"/>
      <w:sz w:val="24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heading 5"/>
    <w:basedOn w:val="Style_5"/>
    <w:next w:val="Style_5"/>
    <w:link w:val="Style_21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1_ch" w:type="character">
    <w:name w:val="heading 5"/>
    <w:basedOn w:val="Style_5_ch"/>
    <w:link w:val="Style_21"/>
    <w:rPr>
      <w:rFonts w:ascii="Calibri" w:hAnsi="Calibri"/>
      <w:b w:val="1"/>
      <w:i w:val="1"/>
      <w:sz w:val="26"/>
    </w:rPr>
  </w:style>
  <w:style w:styleId="Style_22" w:type="paragraph">
    <w:name w:val="heading 1"/>
    <w:basedOn w:val="Style_5"/>
    <w:link w:val="Style_2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2_ch" w:type="character">
    <w:name w:val="heading 1"/>
    <w:basedOn w:val="Style_5_ch"/>
    <w:link w:val="Style_22"/>
    <w:rPr>
      <w:rFonts w:ascii="Times New Roman" w:hAnsi="Times New Roman"/>
      <w:b w:val="1"/>
      <w:sz w:val="4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5"/>
    <w:link w:val="Style_24_ch"/>
  </w:style>
  <w:style w:styleId="Style_24_ch" w:type="character">
    <w:name w:val="Footnote"/>
    <w:basedOn w:val="Style_5_ch"/>
    <w:link w:val="Style_24"/>
  </w:style>
  <w:style w:styleId="Style_25" w:type="paragraph">
    <w:name w:val="heading 8"/>
    <w:basedOn w:val="Style_5"/>
    <w:next w:val="Style_5"/>
    <w:link w:val="Style_25_ch"/>
    <w:uiPriority w:val="9"/>
    <w:qFormat/>
    <w:pPr>
      <w:spacing w:after="60" w:before="240"/>
      <w:ind/>
      <w:outlineLvl w:val="7"/>
    </w:pPr>
    <w:rPr>
      <w:rFonts w:ascii="Calibri" w:hAnsi="Calibri"/>
      <w:i w:val="1"/>
      <w:sz w:val="24"/>
    </w:rPr>
  </w:style>
  <w:style w:styleId="Style_25_ch" w:type="character">
    <w:name w:val="heading 8"/>
    <w:basedOn w:val="Style_5_ch"/>
    <w:link w:val="Style_25"/>
    <w:rPr>
      <w:rFonts w:ascii="Calibri" w:hAnsi="Calibri"/>
      <w:i w:val="1"/>
      <w:sz w:val="24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 3"/>
    <w:basedOn w:val="Style_5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5_ch"/>
    <w:link w:val="Style_30"/>
    <w:rPr>
      <w:sz w:val="16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" w:type="paragraph">
    <w:name w:val="ConsTitle"/>
    <w:link w:val="Style_3_ch"/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oc 10"/>
    <w:next w:val="Style_5"/>
    <w:link w:val="Style_3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4_ch" w:type="character">
    <w:name w:val="toc 10"/>
    <w:link w:val="Style_34"/>
    <w:rPr>
      <w:rFonts w:ascii="XO Thames" w:hAnsi="XO Thames"/>
      <w:sz w:val="28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basedOn w:val="Style_5"/>
    <w:next w:val="Style_5"/>
    <w:link w:val="Style_3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6_ch" w:type="character">
    <w:name w:val="heading 4"/>
    <w:basedOn w:val="Style_5_ch"/>
    <w:link w:val="Style_36"/>
    <w:rPr>
      <w:rFonts w:ascii="Calibri" w:hAnsi="Calibri"/>
      <w:b w:val="1"/>
      <w:sz w:val="28"/>
    </w:rPr>
  </w:style>
  <w:style w:styleId="Style_37" w:type="paragraph">
    <w:name w:val="footnote reference"/>
    <w:link w:val="Style_37_ch"/>
    <w:rPr>
      <w:vertAlign w:val="superscript"/>
    </w:rPr>
  </w:style>
  <w:style w:styleId="Style_37_ch" w:type="character">
    <w:name w:val="footnote reference"/>
    <w:link w:val="Style_37"/>
    <w:rPr>
      <w:vertAlign w:val="superscript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Web 2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0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тиль1"/>
    <w:basedOn w:val="Style_42"/>
  </w:style>
  <w:style w:styleId="Style_43" w:type="table">
    <w:name w:val="Сетка таблицы2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Table Grid"/>
    <w:basedOn w:val="Style_4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Table Web 1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5" w:type="table">
    <w:name w:val="Table Classic 1"/>
    <w:basedOn w:val="Style_2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46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2024-01-15T12:38:12Z</dcterms:modified>
</cp:coreProperties>
</file>