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семинар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«Актуальные проблемы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деятельности государственных и муниципальных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музеев» по теме</w:t>
      </w:r>
      <w:r>
        <w:rPr>
          <w:rFonts w:ascii="XO Thames" w:hAnsi="XO Thames"/>
          <w:sz w:val="24"/>
        </w:rPr>
        <w:t xml:space="preserve">  «Музей как один из драйверов развития регионального туризма</w:t>
      </w:r>
      <w:r>
        <w:rPr>
          <w:rFonts w:ascii="XO Thames" w:hAnsi="XO Thames"/>
          <w:sz w:val="24"/>
        </w:rPr>
        <w:t xml:space="preserve">» </w:t>
      </w:r>
      <w:r>
        <w:rPr>
          <w:rFonts w:ascii="Times New Roman" w:hAnsi="Times New Roman"/>
          <w:sz w:val="24"/>
        </w:rPr>
        <w:t>с 24 по 28 апреля 2023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1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8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A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B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C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E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9"/>
    <w:link w:val="Style_3_ch"/>
    <w:rPr>
      <w:color w:themeColor="hyperlink" w:val="0000FF"/>
      <w:u w:val="single"/>
    </w:rPr>
  </w:style>
  <w:style w:styleId="Style_3_ch" w:type="character">
    <w:name w:val="Hyperlink"/>
    <w:basedOn w:val="Style_9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2023-03-22T09:34:50Z</dcterms:modified>
</cp:coreProperties>
</file>